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年築夢學田實施計畫</w:t>
      </w:r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莘莘學子心中，都有屬於自己的夢田，在這片夢田撒下屬於自己的種子，期望心中專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本會期望透過長期培育與支持，成為孩子的後盾，征服逆風的阻擋，由孩子的天份與努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力，加上我們的培育精神與實質挹注，助其實現夢想，讓夢想發光發亮。</w:t>
      </w:r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本會致力於培育孩子專精技能，培養優秀的人才，希望「適性揚才」，讓孩子能無後顧之憂。故本會推出築夢學田計畫，願意培育菁英人才，支應所需培育費用。幫助有夢想、有規劃的孩子一臂之力。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1、具有音樂、美術、體育、舞蹈、戲劇、數理、語文、電腦、科技、競賽..等其他領域才能﹙以教育部參與之全國性競賽為主，其他未能納入專項者，由評審委員會內討論，表現優異者。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完成收件（郵寄者以郵戳為憑，親送者以當日下午1700時前截止逾期不予收件）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r w:rsidRPr="00951EA8">
        <w:rPr>
          <w:rFonts w:ascii="標楷體" w:eastAsia="標楷體" w:hAnsi="標楷體" w:hint="eastAsia"/>
        </w:rPr>
        <w:t>資審→訪視→審核→初選→面試(決選)→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本計畫補助以一年為原則，續年須重新提供資料申請並參與簡報(評審團實施面談)。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五、獎助項目及獎助金額(本獎助金區分為獎金與育成金兩部分)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2、決選得主獎助學金：當年度築夢學田計畫每一位決選得主，將提供給每一位得主獎助學金6萬元整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，本筆獎助學金將區分上、下兩學期發送。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補助項目)，相關費用以10萬元為上限。另當年度計畫期間，若有競賽獲獎、成績優異者，將提供獎勵金給予鼓勵(需附比賽獲獎證明之相關文件影本)，</w:t>
      </w:r>
      <w:r w:rsidR="00CE556F" w:rsidRPr="00971943">
        <w:rPr>
          <w:rFonts w:ascii="標楷體" w:eastAsia="標楷體" w:hAnsi="標楷體" w:hint="eastAsia"/>
        </w:rPr>
        <w:t>本筆育成金將區分上、下兩學期發送。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築夢學田獎金構成說明(合計以16萬元為上限)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築夢學田計畫育成金(須審核計畫內容)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1、填具申請單(至中華大家功德會官網「築夢學田計畫」項下之「下載專區」)。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2、計畫書乙份(至中華大家功德會官網「築夢學田計畫」項下之「下載專區」)。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「推薦函」兩種，兩種擇一或皆附)。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4、戶籍謄本(需全戶資料)3個月內影本乙份。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6、在學證明，學生證影本(須蓋完本學期註冊章)，或是學校開立之在學証明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由審議委員會進行書面資料審查資格（未入選者將不另行通知）。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本計畫服務對象應於每年合併年度申請者複審時間，至本會以簡報形式分享年度訓練成效及心得（本會將另行通知時間），以利本會檢視瞭解培育者現況。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柒、聯絡方式：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AC1A3" w14:textId="77777777" w:rsidR="00253E2F" w:rsidRDefault="00253E2F" w:rsidP="00951EA8">
      <w:pPr>
        <w:spacing w:after="0" w:line="240" w:lineRule="auto"/>
      </w:pPr>
      <w:r>
        <w:separator/>
      </w:r>
    </w:p>
  </w:endnote>
  <w:endnote w:type="continuationSeparator" w:id="0">
    <w:p w14:paraId="203FF639" w14:textId="77777777" w:rsidR="00253E2F" w:rsidRDefault="00253E2F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88E94" w14:textId="77777777" w:rsidR="00253E2F" w:rsidRDefault="00253E2F" w:rsidP="00951EA8">
      <w:pPr>
        <w:spacing w:after="0" w:line="240" w:lineRule="auto"/>
      </w:pPr>
      <w:r>
        <w:separator/>
      </w:r>
    </w:p>
  </w:footnote>
  <w:footnote w:type="continuationSeparator" w:id="0">
    <w:p w14:paraId="4F0E45C7" w14:textId="77777777" w:rsidR="00253E2F" w:rsidRDefault="00253E2F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C7"/>
    <w:rsid w:val="000773D7"/>
    <w:rsid w:val="00096A3C"/>
    <w:rsid w:val="000B68C3"/>
    <w:rsid w:val="000C202E"/>
    <w:rsid w:val="000C781C"/>
    <w:rsid w:val="000D4AF5"/>
    <w:rsid w:val="000F2FBB"/>
    <w:rsid w:val="001E4057"/>
    <w:rsid w:val="00253E2F"/>
    <w:rsid w:val="00345EA6"/>
    <w:rsid w:val="00381DF6"/>
    <w:rsid w:val="004153D0"/>
    <w:rsid w:val="00455B6F"/>
    <w:rsid w:val="00574AC7"/>
    <w:rsid w:val="00620226"/>
    <w:rsid w:val="0066623F"/>
    <w:rsid w:val="00676E08"/>
    <w:rsid w:val="006D79BF"/>
    <w:rsid w:val="007F2567"/>
    <w:rsid w:val="00951EA8"/>
    <w:rsid w:val="00971943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E9344B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  <w15:chartTrackingRefBased/>
  <w15:docId w15:val="{09202B1E-0BB3-46AA-8FD2-565C5F0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admin</cp:lastModifiedBy>
  <cp:revision>2</cp:revision>
  <dcterms:created xsi:type="dcterms:W3CDTF">2026-05-22T03:27:00Z</dcterms:created>
  <dcterms:modified xsi:type="dcterms:W3CDTF">2026-05-22T03:27:00Z</dcterms:modified>
</cp:coreProperties>
</file>